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AA" w:rsidRDefault="007A69AA" w:rsidP="007A69A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Новикова,</w:t>
      </w:r>
    </w:p>
    <w:p w:rsidR="007A69AA" w:rsidRDefault="007A69AA" w:rsidP="007A69A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к.э.н., доцент</w:t>
      </w:r>
    </w:p>
    <w:p w:rsidR="007A69AA" w:rsidRDefault="007A69AA" w:rsidP="007A69A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БГТУ </w:t>
      </w:r>
    </w:p>
    <w:p w:rsidR="007A69AA" w:rsidRDefault="007A69AA" w:rsidP="007A69A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Ременюк,</w:t>
      </w:r>
    </w:p>
    <w:p w:rsidR="007A69AA" w:rsidRDefault="007A69AA" w:rsidP="007A69A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А.Д. Филенкова</w:t>
      </w:r>
    </w:p>
    <w:p w:rsidR="007A69AA" w:rsidRDefault="007A69AA" w:rsidP="007A69A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студентки </w:t>
      </w:r>
    </w:p>
    <w:p w:rsidR="007A69AA" w:rsidRDefault="007A69AA" w:rsidP="007A69AA">
      <w:pPr>
        <w:spacing w:after="0" w:line="240" w:lineRule="auto"/>
        <w:ind w:firstLine="425"/>
        <w:jc w:val="right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БГТУ</w:t>
      </w:r>
    </w:p>
    <w:p w:rsidR="007A69AA" w:rsidRDefault="007A69AA" w:rsidP="007A69AA">
      <w:pPr>
        <w:spacing w:after="0" w:line="240" w:lineRule="auto"/>
        <w:ind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1A1FBC" w:rsidRDefault="007A69AA" w:rsidP="007A69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Миграционная политика</w:t>
      </w:r>
      <w:r w:rsidRPr="00B84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</w:t>
      </w:r>
      <w:r w:rsidRPr="00B84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рянской области </w:t>
      </w:r>
    </w:p>
    <w:p w:rsidR="007A69AA" w:rsidRPr="00B84160" w:rsidRDefault="007A69AA" w:rsidP="007A69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основные результаты ее реализации</w:t>
      </w:r>
    </w:p>
    <w:p w:rsidR="007A69AA" w:rsidRPr="00A5749B" w:rsidRDefault="007A69AA" w:rsidP="007A69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EB5" w:rsidRDefault="00F76EB5" w:rsidP="00F76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4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Современный период общественного развития Брянской области характеризуется кардинальными изменениями демографических процессов. На них оказывает влияние комплекс гетерогенных факторов: социально-экономических, геополитических, биологических, природно-экологических</w:t>
      </w:r>
      <w:r w:rsidR="00F72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9A6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4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Значение демографических процессов как фактора и индикатора регионального развития </w:t>
      </w:r>
      <w:r w:rsidR="009A6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</w:t>
      </w:r>
      <w:r w:rsidRPr="00E04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растает. Особенно интенсивно это проявляется в субъектах с кризисной социально-демографической ситуацией, к которым относится Брянская область. </w:t>
      </w:r>
      <w:r w:rsidR="009A6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Демографические процессы </w:t>
      </w:r>
      <w:r w:rsidRPr="00E04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отличают повышенный динамизм, пульсационность, структурная и территориальная дифференциация. Основными направлениями их трансформации являются: смена трендов численности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населения</w:t>
      </w:r>
      <w:r w:rsidRPr="00E04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ранний демографический переход,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E04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активизация и усложнение миграци</w:t>
      </w:r>
      <w:r w:rsidR="009A6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0675A" w:rsidRPr="008E201C" w:rsidRDefault="00A0675A" w:rsidP="00352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72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играция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важная характеристика населения в целом </w:t>
      </w:r>
      <w:r w:rsidR="00F72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трудовых ресурсов в частности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наряду с природно-ресурсным и производственным потенциалом определяет экономический потенциал региона. </w:t>
      </w:r>
    </w:p>
    <w:p w:rsidR="00946D66" w:rsidRPr="008E201C" w:rsidRDefault="00946D66" w:rsidP="00352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Миграционная политика – одно из самых сложных, противоречивых и болезненных направлений общественной жизни для нашей страны</w:t>
      </w:r>
      <w:r w:rsidR="009A6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ее регионов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F52B1" w:rsidRPr="009A635E" w:rsidRDefault="00A0675A" w:rsidP="0083004D">
      <w:pPr>
        <w:spacing w:after="3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</w:t>
      </w:r>
      <w:r w:rsidR="009C700F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700F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 населения Брянской области </w:t>
      </w:r>
      <w:r w:rsidR="003522C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отрицательная</w:t>
      </w:r>
      <w:r w:rsidR="003522CC" w:rsidRPr="00352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C700F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C7144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2002 </w:t>
      </w:r>
      <w:r w:rsidR="009C700F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r w:rsidR="009C700F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уменьшил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9C700F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C7144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136 тыс. чел.</w:t>
      </w:r>
      <w:r w:rsidR="009A6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1).</w:t>
      </w:r>
      <w:r w:rsidR="00FC7144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C7144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оэффициент смертности значительно прево</w:t>
      </w:r>
      <w:r w:rsidR="00677240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сходит коэффициент рождаемости</w:t>
      </w:r>
      <w:r w:rsidR="00FC7144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>, что гово</w:t>
      </w:r>
      <w:r w:rsidR="00677240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рит о необходимости увеличения </w:t>
      </w:r>
      <w:r w:rsidR="003D59CA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миграционного потока </w:t>
      </w:r>
      <w:r w:rsidR="00F55D18" w:rsidRPr="009A635E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="009A63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2CC" w:rsidRDefault="00FD2AA1" w:rsidP="003522CC">
      <w:pPr>
        <w:keepNext/>
        <w:spacing w:after="0" w:line="240" w:lineRule="auto"/>
        <w:jc w:val="both"/>
      </w:pPr>
      <w:r w:rsidRPr="00FD2AA1">
        <w:rPr>
          <w:noProof/>
          <w:lang w:eastAsia="ru-RU"/>
        </w:rPr>
        <w:drawing>
          <wp:inline distT="0" distB="0" distL="0" distR="0">
            <wp:extent cx="6111240" cy="19050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22CC" w:rsidRPr="009A635E" w:rsidRDefault="003522CC" w:rsidP="009A635E">
      <w:pPr>
        <w:pStyle w:val="af3"/>
        <w:spacing w:after="240"/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</w:pPr>
      <w:r w:rsidRPr="009A635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>Рис.1</w:t>
      </w:r>
      <w:r w:rsidR="009A635E" w:rsidRPr="009A635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>.</w:t>
      </w:r>
      <w:r w:rsidRPr="009A635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Динамика численности постоянного населения Брянской области</w:t>
      </w:r>
      <w:r w:rsidR="009A635E" w:rsidRPr="009A635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, </w:t>
      </w:r>
      <w:r w:rsidRPr="009A635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>тыс</w:t>
      </w:r>
      <w:r w:rsidR="009A635E" w:rsidRPr="009A635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>.</w:t>
      </w:r>
      <w:r w:rsidRPr="009A635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чел.</w:t>
      </w:r>
    </w:p>
    <w:p w:rsidR="00AB20C8" w:rsidRDefault="00F72F2A" w:rsidP="003A6371">
      <w:pPr>
        <w:pStyle w:val="a4"/>
        <w:ind w:firstLine="708"/>
        <w:rPr>
          <w:color w:val="000000" w:themeColor="text1"/>
          <w:szCs w:val="28"/>
        </w:rPr>
      </w:pPr>
      <w:r>
        <w:rPr>
          <w:color w:val="000000" w:themeColor="text1"/>
        </w:rPr>
        <w:lastRenderedPageBreak/>
        <w:t>Компенсирующим фактором по-прежнему</w:t>
      </w:r>
      <w:r w:rsidR="009C700F" w:rsidRPr="008E201C">
        <w:rPr>
          <w:color w:val="000000" w:themeColor="text1"/>
        </w:rPr>
        <w:t xml:space="preserve"> является международная миграция. За январь - апрель 2014 г. миграционный прирост в регионе составил 400 чел., </w:t>
      </w:r>
      <w:r w:rsidR="00E40463" w:rsidRPr="008E201C">
        <w:rPr>
          <w:color w:val="000000" w:themeColor="text1"/>
        </w:rPr>
        <w:t xml:space="preserve">причем </w:t>
      </w:r>
      <w:r w:rsidR="009C700F" w:rsidRPr="008E201C">
        <w:rPr>
          <w:color w:val="000000" w:themeColor="text1"/>
        </w:rPr>
        <w:t xml:space="preserve">прибывшие из стран СНГ </w:t>
      </w:r>
      <w:r w:rsidR="00AA0CF5" w:rsidRPr="008E201C">
        <w:rPr>
          <w:color w:val="000000" w:themeColor="text1"/>
        </w:rPr>
        <w:t xml:space="preserve">– это </w:t>
      </w:r>
      <w:r w:rsidR="009C700F" w:rsidRPr="008E201C">
        <w:rPr>
          <w:color w:val="000000" w:themeColor="text1"/>
        </w:rPr>
        <w:t xml:space="preserve">98,2% от </w:t>
      </w:r>
      <w:r w:rsidR="003E331A" w:rsidRPr="008E201C">
        <w:rPr>
          <w:color w:val="000000" w:themeColor="text1"/>
        </w:rPr>
        <w:t>общего</w:t>
      </w:r>
      <w:r w:rsidR="009C700F" w:rsidRPr="008E201C">
        <w:rPr>
          <w:color w:val="000000" w:themeColor="text1"/>
        </w:rPr>
        <w:t xml:space="preserve"> количества. </w:t>
      </w:r>
      <w:r w:rsidR="00A951AE" w:rsidRPr="008E201C">
        <w:rPr>
          <w:color w:val="000000" w:themeColor="text1"/>
          <w:szCs w:val="28"/>
        </w:rPr>
        <w:t>Основн</w:t>
      </w:r>
      <w:r w:rsidR="00AA0CF5" w:rsidRPr="008E201C">
        <w:rPr>
          <w:color w:val="000000" w:themeColor="text1"/>
          <w:szCs w:val="28"/>
        </w:rPr>
        <w:t>ая</w:t>
      </w:r>
      <w:r w:rsidR="00A951AE" w:rsidRPr="008E201C">
        <w:rPr>
          <w:color w:val="000000" w:themeColor="text1"/>
          <w:szCs w:val="28"/>
        </w:rPr>
        <w:t xml:space="preserve"> часть въезжающих </w:t>
      </w:r>
      <w:r w:rsidR="00760B3D" w:rsidRPr="008E201C">
        <w:rPr>
          <w:color w:val="000000" w:themeColor="text1"/>
          <w:szCs w:val="28"/>
        </w:rPr>
        <w:t xml:space="preserve">иностранцев </w:t>
      </w:r>
      <w:r w:rsidR="00AA0CF5" w:rsidRPr="008E201C">
        <w:rPr>
          <w:color w:val="000000" w:themeColor="text1"/>
          <w:szCs w:val="28"/>
        </w:rPr>
        <w:t>приходится на</w:t>
      </w:r>
      <w:r w:rsidR="00A951AE" w:rsidRPr="008E201C">
        <w:rPr>
          <w:color w:val="000000" w:themeColor="text1"/>
          <w:szCs w:val="28"/>
        </w:rPr>
        <w:t xml:space="preserve"> граждан </w:t>
      </w:r>
      <w:r w:rsidR="00760B3D" w:rsidRPr="008E201C">
        <w:rPr>
          <w:color w:val="000000" w:themeColor="text1"/>
          <w:szCs w:val="28"/>
        </w:rPr>
        <w:t>Украины и Узбекистана</w:t>
      </w:r>
      <w:r w:rsidR="0089613E">
        <w:rPr>
          <w:color w:val="000000" w:themeColor="text1"/>
          <w:szCs w:val="28"/>
        </w:rPr>
        <w:t xml:space="preserve"> (рис. 2)</w:t>
      </w:r>
      <w:r w:rsidR="00A951AE" w:rsidRPr="008E201C">
        <w:rPr>
          <w:color w:val="000000" w:themeColor="text1"/>
          <w:szCs w:val="28"/>
        </w:rPr>
        <w:t xml:space="preserve">. </w:t>
      </w:r>
    </w:p>
    <w:p w:rsidR="0083004D" w:rsidRDefault="0083004D" w:rsidP="0083004D">
      <w:pPr>
        <w:pStyle w:val="a4"/>
        <w:keepNext/>
        <w:ind w:firstLine="709"/>
      </w:pPr>
      <w:r w:rsidRPr="0083004D">
        <w:rPr>
          <w:noProof/>
          <w:color w:val="000000" w:themeColor="text1"/>
          <w:szCs w:val="28"/>
        </w:rPr>
        <w:drawing>
          <wp:inline distT="0" distB="0" distL="0" distR="0">
            <wp:extent cx="5838825" cy="22193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004D" w:rsidRDefault="0083004D" w:rsidP="009A635E">
      <w:pPr>
        <w:pStyle w:val="af3"/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30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Рис. 2</w:t>
      </w:r>
      <w:r w:rsidR="009A63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830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Доля граждан, поставленных на миграционный учет по месту пребывания, по странам происхождения</w:t>
      </w:r>
    </w:p>
    <w:p w:rsidR="009A635E" w:rsidRPr="009A635E" w:rsidRDefault="009A635E" w:rsidP="009A635E">
      <w:pPr>
        <w:spacing w:after="0"/>
      </w:pPr>
    </w:p>
    <w:p w:rsidR="00AB20C8" w:rsidRDefault="00AB20C8" w:rsidP="003A6371">
      <w:pPr>
        <w:pStyle w:val="a4"/>
        <w:ind w:firstLine="567"/>
        <w:rPr>
          <w:color w:val="000000" w:themeColor="text1"/>
          <w:szCs w:val="28"/>
        </w:rPr>
      </w:pPr>
      <w:r w:rsidRPr="00AB20C8">
        <w:rPr>
          <w:color w:val="000000" w:themeColor="text1"/>
          <w:szCs w:val="28"/>
        </w:rPr>
        <w:t>В конце 2014 г. на основе исследования результатов переписи населения, данных Росстата и прочих показателей в агентстве «Интеррейтинг» составили список регионов с изменивше</w:t>
      </w:r>
      <w:r>
        <w:rPr>
          <w:color w:val="000000" w:themeColor="text1"/>
          <w:szCs w:val="28"/>
        </w:rPr>
        <w:t>йся демографической обстановкой</w:t>
      </w:r>
      <w:r w:rsidRPr="00AB20C8">
        <w:rPr>
          <w:color w:val="000000" w:themeColor="text1"/>
          <w:szCs w:val="28"/>
        </w:rPr>
        <w:t>. Брянщина оказалась в числе аутсайдеров. За 2014 год население нашего региона сократилось более чем на 11 тысяч человек. При этом характерен как общий отрицательный прирост населения, так и отрицательное сальдо миграции.</w:t>
      </w:r>
    </w:p>
    <w:p w:rsidR="00642956" w:rsidRPr="00F72F2A" w:rsidRDefault="00642956" w:rsidP="00AB2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</w:t>
      </w:r>
      <w:r w:rsidR="003D3E5E"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ую роль 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современном  движении населения играет трудовая миграция.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за 2014</w:t>
      </w:r>
      <w:r w:rsidR="007915EA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72F2A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</w:t>
      </w:r>
      <w:r w:rsidR="00F72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иностранным гражданам фактически выдано 1037 разрешений на работу</w:t>
      </w:r>
      <w:r w:rsidR="0089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3)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6371" w:rsidRPr="00F72F2A" w:rsidRDefault="003A6371" w:rsidP="00AB2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820" w:rsidRDefault="000F3A90" w:rsidP="002B5820">
      <w:pPr>
        <w:keepNext/>
        <w:spacing w:after="0" w:line="240" w:lineRule="auto"/>
        <w:jc w:val="both"/>
      </w:pPr>
      <w:r w:rsidRPr="000F3A90">
        <w:rPr>
          <w:rFonts w:ascii="Arial" w:hAnsi="Arial" w:cs="Arial"/>
          <w:noProof/>
          <w:color w:val="000000" w:themeColor="text1"/>
          <w:spacing w:val="2"/>
          <w:sz w:val="21"/>
          <w:szCs w:val="21"/>
          <w:lang w:eastAsia="ru-RU"/>
        </w:rPr>
        <w:drawing>
          <wp:inline distT="0" distB="0" distL="0" distR="0">
            <wp:extent cx="6305550" cy="2543175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3A90" w:rsidRPr="00F72F2A" w:rsidRDefault="002B5820" w:rsidP="003A6371">
      <w:pPr>
        <w:pStyle w:val="af3"/>
        <w:spacing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B5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Рис.3 Количество полученных от работодателей уведомлений</w:t>
      </w:r>
      <w:r w:rsidRPr="002B5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о привлечении иностранных работников</w:t>
      </w:r>
    </w:p>
    <w:p w:rsidR="003A6371" w:rsidRPr="00F72F2A" w:rsidRDefault="003A6371" w:rsidP="003A6371"/>
    <w:p w:rsidR="0089613E" w:rsidRPr="00F55D18" w:rsidRDefault="0089613E" w:rsidP="003A6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играционная убыль продолжает оставаться существенной причиной сокращения численности населения Брянской области. Это обусловлено оттоком трудоспособного населения в другие регионы. Например, в 2012 году по сравнению с 2011 годом миграционный отток населения составил 4,7 тысячи человек, в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 г. – 3,1 тыс. человек. Более 11 тысяч земляков выбрали для жизни другие регионы России, в дальнее зарубежье эмигрировали всего 64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D18">
        <w:rPr>
          <w:rFonts w:ascii="Times New Roman" w:hAnsi="Times New Roman" w:cs="Times New Roman"/>
          <w:color w:val="000000" w:themeColor="text1"/>
          <w:sz w:val="28"/>
          <w:szCs w:val="28"/>
        </w:rPr>
        <w:t>[2]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13E" w:rsidRPr="008E201C" w:rsidRDefault="00F72F2A" w:rsidP="0089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</w:t>
      </w:r>
      <w:r w:rsidR="0089613E"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январь - апрель 2014 г. наметилась положительная динамика: миграционная убыль населения Брянской области уменьшилась наполовину по сравнению с аналогичным периодом прошлого года и составила 827 чел., что обусловлено одновременным увеличением на 15,4% числа прибывших из-за пределов области и уменьшением на 10% числа выбывших за её пределы.</w:t>
      </w:r>
    </w:p>
    <w:p w:rsidR="0089613E" w:rsidRPr="008E201C" w:rsidRDefault="0089613E" w:rsidP="0089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2015 году ожидается уменьшение притока мигрантов в РФ и Брянскую область в связи с введением патентов, хотя потребность в них сохраняется.</w:t>
      </w:r>
    </w:p>
    <w:p w:rsidR="0089613E" w:rsidRDefault="0089613E" w:rsidP="00B0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Существующий и грядущий дефицит рабочей силы в условиях конкуренции на рынке труда с близлежащим экономическим мегаполисом (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г. </w:t>
      </w: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Москва, Московская область) является сдерживающим фактором для развития экономического потенциала Брянской области. 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1-ом полугодии 2014 г. в распоряжении службы занятости находилось более 38 000 вакансий, при этом было зарегистрировано </w:t>
      </w:r>
      <w:r w:rsidR="003D4BB3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8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7300 безработных.</w:t>
      </w:r>
    </w:p>
    <w:p w:rsidR="00906D42" w:rsidRPr="008E201C" w:rsidRDefault="000A2C80" w:rsidP="0089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7351E8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последнее время в</w:t>
      </w:r>
      <w:r w:rsidR="00612D29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Брянской </w:t>
      </w:r>
      <w:r w:rsidR="00612D29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области успешно реализуются инвестиционные проекты в промышленности, агропромышленном комплексе. В связи с этим одной из важных задач является создание условий и механизмов для привлечения востребованных экономикой специалистов, так как в современных условиях миграция работников высокой квалификации является важным источником накоплени</w:t>
      </w: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="00612D29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человеческого капитала.</w:t>
      </w:r>
    </w:p>
    <w:p w:rsidR="00677240" w:rsidRPr="008E201C" w:rsidRDefault="003522CC" w:rsidP="00936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r w:rsidR="00034C5A" w:rsidRPr="008E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ели миграционной политики Брянской области:</w:t>
      </w:r>
    </w:p>
    <w:p w:rsidR="00B024CD" w:rsidRPr="00B024CD" w:rsidRDefault="00B024CD" w:rsidP="00B024CD">
      <w:pPr>
        <w:pStyle w:val="af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34C5A" w:rsidRPr="00B0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беспечение национальной безопасности и устойчивого социально-экономического и демографического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региона.</w:t>
      </w:r>
    </w:p>
    <w:p w:rsidR="00677240" w:rsidRPr="00B024CD" w:rsidRDefault="00B024CD" w:rsidP="00B024CD">
      <w:pPr>
        <w:pStyle w:val="af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034C5A" w:rsidRPr="00B0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одействие обеспечению потребности экономики Брянской области в трудовых ресурсах и инновационном развитии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24CD" w:rsidRPr="00B024CD" w:rsidRDefault="00B024CD" w:rsidP="00B024CD">
      <w:pPr>
        <w:pStyle w:val="af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034C5A" w:rsidRPr="00B0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величение численности постоян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населения региона.</w:t>
      </w:r>
    </w:p>
    <w:p w:rsidR="00FF32FF" w:rsidRDefault="00B024CD" w:rsidP="00FF32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Основными </w:t>
      </w:r>
      <w:r w:rsidR="00FF3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FF3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миграционной политики Брянской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являются</w:t>
      </w:r>
      <w:r w:rsidR="00FF3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3F235D" w:rsidRPr="00936B32" w:rsidRDefault="00B024CD" w:rsidP="00B024CD">
      <w:pPr>
        <w:spacing w:after="0" w:line="240" w:lineRule="auto"/>
        <w:ind w:left="72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с</w:t>
      </w:r>
      <w:r w:rsidR="00115EFB" w:rsidRPr="0093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нижение миграционной убыли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F235D" w:rsidRPr="00936B32" w:rsidRDefault="00B024CD" w:rsidP="00B024CD">
      <w:pPr>
        <w:spacing w:after="0" w:line="240" w:lineRule="auto"/>
        <w:ind w:left="72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с</w:t>
      </w:r>
      <w:r w:rsidR="00115EFB" w:rsidRPr="0093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одействие и стимулирование добровольного переселения соотечественников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0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проживающих за рубежом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F235D" w:rsidRDefault="00B024CD" w:rsidP="00B024CD">
      <w:pPr>
        <w:spacing w:after="0" w:line="240" w:lineRule="auto"/>
        <w:ind w:left="72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р</w:t>
      </w:r>
      <w:r w:rsidR="00115EFB" w:rsidRPr="0093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азработка дифференцированных механизмов привлечения, отбора и использования иностранной рабочей силы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F32FF" w:rsidRPr="00FF32FF" w:rsidRDefault="00936B32" w:rsidP="00936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</w:t>
      </w:r>
      <w:r w:rsidR="003D4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3D4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важных направлений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Pr="009C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кадрами необходимых профессий и уровня квалификации социально-экономического комплекса Брянской области, а также возрождение территорий аграрного сектора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Немаловажной является задача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приоритетного оказания</w:t>
      </w:r>
      <w:r w:rsidRPr="009C160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государственной помощи наиболее нуждающимся категориям вынужденных переселенцев и соотечественников</w:t>
      </w:r>
      <w:r w:rsidR="003D4BB3">
        <w:rPr>
          <w:rFonts w:ascii="Times New Roman" w:hAnsi="Times New Roman" w:cs="Times New Roman"/>
          <w:color w:val="2D2D2D"/>
          <w:spacing w:val="2"/>
          <w:sz w:val="28"/>
          <w:szCs w:val="28"/>
        </w:rPr>
        <w:t>, с</w:t>
      </w:r>
      <w:r w:rsidRPr="0093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одействи</w:t>
      </w:r>
      <w:r w:rsidR="003D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3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адаптации и интеграции мигрантов, формировани</w:t>
      </w:r>
      <w:r w:rsidR="003D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3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конструктивного взаимодействия между мигрантами и принимающим сообществом</w:t>
      </w:r>
      <w:r w:rsidR="003D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7FDE" w:rsidRPr="000F3A90" w:rsidRDefault="00F72F2A" w:rsidP="000F3A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 учетом</w:t>
      </w:r>
      <w:r w:rsidR="00034C5A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социально-экономическ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ой</w:t>
      </w:r>
      <w:r w:rsidR="00034C5A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034C5A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развития Брянской области до 2025 года</w:t>
      </w:r>
      <w:r w:rsidR="00897EB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034C5A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которая диктует необходимость увеличения потребности предприятий в высококвалифицированных кадрах, </w:t>
      </w:r>
      <w:r w:rsidR="00612D29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миграционные процессы в Брянской области должны стать позитивным фактором, способствующим улучшению демографической ситуации и развитию экономики.</w:t>
      </w:r>
    </w:p>
    <w:p w:rsidR="00612D29" w:rsidRDefault="008D585E" w:rsidP="00B0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</w:t>
      </w:r>
      <w:r w:rsidR="00B024C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</w:t>
      </w:r>
      <w:r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водя итог </w:t>
      </w:r>
      <w:r w:rsidR="00C05E0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оцен</w:t>
      </w:r>
      <w:r w:rsidR="00D83EC4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ки</w:t>
      </w:r>
      <w:r w:rsidR="00C05E0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миграционн</w:t>
      </w:r>
      <w:r w:rsidR="00D83EC4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ого</w:t>
      </w:r>
      <w:r w:rsidR="00C05E0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потенциал</w:t>
      </w:r>
      <w:r w:rsidR="00D83EC4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C05E0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Брянской </w:t>
      </w:r>
      <w:r w:rsidR="00B2679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области</w:t>
      </w:r>
      <w:r w:rsidR="00D83EC4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отметим, что </w:t>
      </w:r>
      <w:r w:rsidR="003D4B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случае 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мониторинг</w:t>
      </w:r>
      <w:r w:rsidR="003D4B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</w:t>
      </w:r>
      <w:r w:rsidR="003D4B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последующего 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анализ</w:t>
      </w:r>
      <w:r w:rsidR="003D4B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происходящих на территории</w:t>
      </w:r>
      <w:r w:rsidR="00EF265C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региона миграционных процессов, 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 также последующ</w:t>
      </w:r>
      <w:r w:rsidR="003D4B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ей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корректировк</w:t>
      </w:r>
      <w:r w:rsidR="003D4B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мер</w:t>
      </w:r>
      <w:r w:rsidR="00897EB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оприятий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миграционной политики</w:t>
      </w:r>
      <w:bookmarkStart w:id="0" w:name="_GoBack"/>
      <w:bookmarkEnd w:id="0"/>
      <w:r w:rsidR="00B2679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предполагает</w:t>
      </w:r>
      <w:r w:rsidR="00B2679F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ся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 2026 году обеспечить </w:t>
      </w:r>
      <w:r w:rsidR="00D83EC4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существенный </w:t>
      </w:r>
      <w:r w:rsidR="00867FDE" w:rsidRPr="008E20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миграционный приток населения.</w:t>
      </w:r>
    </w:p>
    <w:p w:rsidR="00B024CD" w:rsidRDefault="00B024CD" w:rsidP="00B024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75615" w:rsidRPr="003A6371" w:rsidRDefault="00175615" w:rsidP="00B024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5D1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3A6371">
        <w:rPr>
          <w:rFonts w:ascii="Times New Roman" w:hAnsi="Times New Roman" w:cs="Times New Roman"/>
          <w:b/>
          <w:sz w:val="28"/>
          <w:szCs w:val="28"/>
        </w:rPr>
        <w:t>:</w:t>
      </w:r>
    </w:p>
    <w:p w:rsidR="00B024CD" w:rsidRPr="00F55D18" w:rsidRDefault="00B024CD" w:rsidP="00B024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55D18" w:rsidRPr="00F55D18" w:rsidRDefault="007A69AA" w:rsidP="007A69AA">
      <w:pPr>
        <w:pStyle w:val="af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55D18" w:rsidRPr="00F55D1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55D18" w:rsidRPr="00F55D18">
        <w:rPr>
          <w:rFonts w:ascii="Times New Roman" w:hAnsi="Times New Roman" w:cs="Times New Roman"/>
          <w:color w:val="000000"/>
          <w:sz w:val="28"/>
          <w:szCs w:val="28"/>
        </w:rPr>
        <w:t xml:space="preserve">рган Федеральной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5D18" w:rsidRPr="00F55D18">
        <w:rPr>
          <w:rFonts w:ascii="Times New Roman" w:hAnsi="Times New Roman" w:cs="Times New Roman"/>
          <w:color w:val="000000"/>
          <w:sz w:val="28"/>
          <w:szCs w:val="28"/>
        </w:rPr>
        <w:t xml:space="preserve">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55D18" w:rsidRPr="00F55D18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5D18" w:rsidRPr="00F55D18">
        <w:rPr>
          <w:rFonts w:ascii="Times New Roman" w:hAnsi="Times New Roman" w:cs="Times New Roman"/>
          <w:color w:val="000000"/>
          <w:sz w:val="28"/>
          <w:szCs w:val="28"/>
        </w:rPr>
        <w:t>татистики по Брянской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5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A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51AB5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r w:rsidRPr="00751AB5">
        <w:rPr>
          <w:rFonts w:ascii="Times New Roman" w:hAnsi="Times New Roman" w:cs="Times New Roman"/>
          <w:sz w:val="28"/>
          <w:szCs w:val="28"/>
        </w:rPr>
        <w:t>:</w:t>
      </w:r>
    </w:p>
    <w:p w:rsidR="00175615" w:rsidRPr="00F55D18" w:rsidRDefault="00175615" w:rsidP="00F55D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D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http://bryansk.gks.ru/wps/wcm/connect/rosstat_ts/bryansk/ru/statistics/population/</w:t>
      </w:r>
    </w:p>
    <w:p w:rsidR="00175615" w:rsidRDefault="00175615" w:rsidP="00F55D18">
      <w:pPr>
        <w:pStyle w:val="af4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D18">
        <w:rPr>
          <w:rFonts w:ascii="Times New Roman" w:hAnsi="Times New Roman" w:cs="Times New Roman"/>
          <w:sz w:val="28"/>
          <w:szCs w:val="28"/>
        </w:rPr>
        <w:t xml:space="preserve"> (дата обращения: 2</w:t>
      </w:r>
      <w:r w:rsidR="00F55D18" w:rsidRPr="00F55D18">
        <w:rPr>
          <w:rFonts w:ascii="Times New Roman" w:hAnsi="Times New Roman" w:cs="Times New Roman"/>
          <w:sz w:val="28"/>
          <w:szCs w:val="28"/>
        </w:rPr>
        <w:t>0</w:t>
      </w:r>
      <w:r w:rsidRPr="00F55D18">
        <w:rPr>
          <w:rFonts w:ascii="Times New Roman" w:hAnsi="Times New Roman" w:cs="Times New Roman"/>
          <w:sz w:val="28"/>
          <w:szCs w:val="28"/>
        </w:rPr>
        <w:t>.0</w:t>
      </w:r>
      <w:r w:rsidR="00F55D18" w:rsidRPr="00F55D18">
        <w:rPr>
          <w:rFonts w:ascii="Times New Roman" w:hAnsi="Times New Roman" w:cs="Times New Roman"/>
          <w:sz w:val="28"/>
          <w:szCs w:val="28"/>
        </w:rPr>
        <w:t>4</w:t>
      </w:r>
      <w:r w:rsidRPr="00F55D18">
        <w:rPr>
          <w:rFonts w:ascii="Times New Roman" w:hAnsi="Times New Roman" w:cs="Times New Roman"/>
          <w:sz w:val="28"/>
          <w:szCs w:val="28"/>
        </w:rPr>
        <w:t>.2015)</w:t>
      </w:r>
    </w:p>
    <w:p w:rsidR="00F55D18" w:rsidRDefault="00F55D18" w:rsidP="00F55D18">
      <w:pPr>
        <w:pStyle w:val="af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5D18">
        <w:rPr>
          <w:rFonts w:ascii="Times New Roman" w:hAnsi="Times New Roman" w:cs="Times New Roman"/>
          <w:sz w:val="28"/>
          <w:szCs w:val="28"/>
        </w:rPr>
        <w:t>УФМС России по Брянской области</w:t>
      </w:r>
      <w:r w:rsidR="007A69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AA" w:rsidRPr="00751AB5">
        <w:rPr>
          <w:rFonts w:ascii="Times New Roman" w:hAnsi="Times New Roman" w:cs="Times New Roman"/>
          <w:sz w:val="28"/>
          <w:szCs w:val="28"/>
        </w:rPr>
        <w:t>[</w:t>
      </w:r>
      <w:r w:rsidR="007A69A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A69AA" w:rsidRPr="00751AB5">
        <w:rPr>
          <w:rFonts w:ascii="Times New Roman" w:hAnsi="Times New Roman" w:cs="Times New Roman"/>
          <w:sz w:val="28"/>
          <w:szCs w:val="28"/>
        </w:rPr>
        <w:t xml:space="preserve">]. </w:t>
      </w:r>
      <w:r w:rsidR="007A69AA">
        <w:rPr>
          <w:rFonts w:ascii="Times New Roman" w:hAnsi="Times New Roman" w:cs="Times New Roman"/>
          <w:sz w:val="28"/>
          <w:szCs w:val="28"/>
        </w:rPr>
        <w:t>Режим доступа</w:t>
      </w:r>
      <w:r w:rsidR="007A69AA" w:rsidRPr="00751AB5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ufms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bryansk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statistics</w:t>
        </w:r>
        <w:r w:rsidR="007A69AA" w:rsidRPr="007A69A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7A69AA">
        <w:rPr>
          <w:rFonts w:ascii="Times New Roman" w:hAnsi="Times New Roman" w:cs="Times New Roman"/>
          <w:sz w:val="28"/>
          <w:szCs w:val="28"/>
        </w:rPr>
        <w:t xml:space="preserve"> </w:t>
      </w:r>
      <w:r w:rsidRPr="00F55D18">
        <w:rPr>
          <w:rFonts w:ascii="Times New Roman" w:hAnsi="Times New Roman" w:cs="Times New Roman"/>
          <w:sz w:val="28"/>
          <w:szCs w:val="28"/>
        </w:rPr>
        <w:t>(дата обращения: 20.04.2015)</w:t>
      </w:r>
    </w:p>
    <w:p w:rsidR="00F55D18" w:rsidRDefault="00F55D18" w:rsidP="00F55D18">
      <w:pPr>
        <w:pStyle w:val="af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55D18" w:rsidSect="00FD2AA1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8F" w:rsidRDefault="0019028F" w:rsidP="009C700F">
      <w:pPr>
        <w:spacing w:after="0" w:line="240" w:lineRule="auto"/>
      </w:pPr>
      <w:r>
        <w:separator/>
      </w:r>
    </w:p>
  </w:endnote>
  <w:endnote w:type="continuationSeparator" w:id="0">
    <w:p w:rsidR="0019028F" w:rsidRDefault="0019028F" w:rsidP="009C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8395"/>
      <w:docPartObj>
        <w:docPartGallery w:val="Page Numbers (Bottom of Page)"/>
        <w:docPartUnique/>
      </w:docPartObj>
    </w:sdtPr>
    <w:sdtEndPr/>
    <w:sdtContent>
      <w:p w:rsidR="00034C5A" w:rsidRDefault="002E3860">
        <w:pPr>
          <w:pStyle w:val="af1"/>
        </w:pPr>
        <w:r>
          <w:fldChar w:fldCharType="begin"/>
        </w:r>
        <w:r w:rsidR="00171260">
          <w:instrText xml:space="preserve"> PAGE   \* MERGEFORMAT </w:instrText>
        </w:r>
        <w:r>
          <w:fldChar w:fldCharType="separate"/>
        </w:r>
        <w:r w:rsidR="00190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5A" w:rsidRDefault="00034C5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8F" w:rsidRDefault="0019028F" w:rsidP="009C700F">
      <w:pPr>
        <w:spacing w:after="0" w:line="240" w:lineRule="auto"/>
      </w:pPr>
      <w:r>
        <w:separator/>
      </w:r>
    </w:p>
  </w:footnote>
  <w:footnote w:type="continuationSeparator" w:id="0">
    <w:p w:rsidR="0019028F" w:rsidRDefault="0019028F" w:rsidP="009C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D20"/>
    <w:multiLevelType w:val="hybridMultilevel"/>
    <w:tmpl w:val="52D66FAC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7744" w:hanging="360"/>
      </w:pPr>
    </w:lvl>
    <w:lvl w:ilvl="2" w:tplc="0419001B" w:tentative="1">
      <w:start w:val="1"/>
      <w:numFmt w:val="lowerRoman"/>
      <w:lvlText w:val="%3."/>
      <w:lvlJc w:val="right"/>
      <w:pPr>
        <w:ind w:left="8464" w:hanging="180"/>
      </w:pPr>
    </w:lvl>
    <w:lvl w:ilvl="3" w:tplc="0419000F" w:tentative="1">
      <w:start w:val="1"/>
      <w:numFmt w:val="decimal"/>
      <w:lvlText w:val="%4."/>
      <w:lvlJc w:val="left"/>
      <w:pPr>
        <w:ind w:left="9184" w:hanging="360"/>
      </w:pPr>
    </w:lvl>
    <w:lvl w:ilvl="4" w:tplc="04190019" w:tentative="1">
      <w:start w:val="1"/>
      <w:numFmt w:val="lowerLetter"/>
      <w:lvlText w:val="%5."/>
      <w:lvlJc w:val="left"/>
      <w:pPr>
        <w:ind w:left="9904" w:hanging="360"/>
      </w:pPr>
    </w:lvl>
    <w:lvl w:ilvl="5" w:tplc="0419001B" w:tentative="1">
      <w:start w:val="1"/>
      <w:numFmt w:val="lowerRoman"/>
      <w:lvlText w:val="%6."/>
      <w:lvlJc w:val="right"/>
      <w:pPr>
        <w:ind w:left="10624" w:hanging="180"/>
      </w:pPr>
    </w:lvl>
    <w:lvl w:ilvl="6" w:tplc="0419000F" w:tentative="1">
      <w:start w:val="1"/>
      <w:numFmt w:val="decimal"/>
      <w:lvlText w:val="%7."/>
      <w:lvlJc w:val="left"/>
      <w:pPr>
        <w:ind w:left="11344" w:hanging="360"/>
      </w:pPr>
    </w:lvl>
    <w:lvl w:ilvl="7" w:tplc="04190019" w:tentative="1">
      <w:start w:val="1"/>
      <w:numFmt w:val="lowerLetter"/>
      <w:lvlText w:val="%8."/>
      <w:lvlJc w:val="left"/>
      <w:pPr>
        <w:ind w:left="12064" w:hanging="360"/>
      </w:pPr>
    </w:lvl>
    <w:lvl w:ilvl="8" w:tplc="0419001B" w:tentative="1">
      <w:start w:val="1"/>
      <w:numFmt w:val="lowerRoman"/>
      <w:lvlText w:val="%9."/>
      <w:lvlJc w:val="right"/>
      <w:pPr>
        <w:ind w:left="12784" w:hanging="180"/>
      </w:pPr>
    </w:lvl>
  </w:abstractNum>
  <w:abstractNum w:abstractNumId="1">
    <w:nsid w:val="235A7730"/>
    <w:multiLevelType w:val="hybridMultilevel"/>
    <w:tmpl w:val="80ACE24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C7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40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C9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6A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0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2E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2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6B3B2A"/>
    <w:multiLevelType w:val="hybridMultilevel"/>
    <w:tmpl w:val="EBFE1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5640795"/>
    <w:multiLevelType w:val="hybridMultilevel"/>
    <w:tmpl w:val="1BD06050"/>
    <w:lvl w:ilvl="0" w:tplc="310E3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C7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40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C9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6A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0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2E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2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182CBD"/>
    <w:multiLevelType w:val="hybridMultilevel"/>
    <w:tmpl w:val="0504CE08"/>
    <w:lvl w:ilvl="0" w:tplc="75AEF0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0F"/>
    <w:rsid w:val="00034C5A"/>
    <w:rsid w:val="000433B2"/>
    <w:rsid w:val="00082CD5"/>
    <w:rsid w:val="000A2C80"/>
    <w:rsid w:val="000A4793"/>
    <w:rsid w:val="000F3A90"/>
    <w:rsid w:val="00113A13"/>
    <w:rsid w:val="00115EFB"/>
    <w:rsid w:val="00135B05"/>
    <w:rsid w:val="00171260"/>
    <w:rsid w:val="00175615"/>
    <w:rsid w:val="0019028F"/>
    <w:rsid w:val="001A1FBC"/>
    <w:rsid w:val="001C24B8"/>
    <w:rsid w:val="001D3569"/>
    <w:rsid w:val="00244347"/>
    <w:rsid w:val="00245C9F"/>
    <w:rsid w:val="00276BC9"/>
    <w:rsid w:val="00287AFB"/>
    <w:rsid w:val="002B4F1F"/>
    <w:rsid w:val="002B5820"/>
    <w:rsid w:val="002C1812"/>
    <w:rsid w:val="002E3860"/>
    <w:rsid w:val="003076CE"/>
    <w:rsid w:val="00330B5D"/>
    <w:rsid w:val="00340983"/>
    <w:rsid w:val="003522CC"/>
    <w:rsid w:val="003A6371"/>
    <w:rsid w:val="003D3E5E"/>
    <w:rsid w:val="003D4BB3"/>
    <w:rsid w:val="003D59CA"/>
    <w:rsid w:val="003E331A"/>
    <w:rsid w:val="003F235D"/>
    <w:rsid w:val="003F52B1"/>
    <w:rsid w:val="00426634"/>
    <w:rsid w:val="00427DF2"/>
    <w:rsid w:val="00461662"/>
    <w:rsid w:val="00471282"/>
    <w:rsid w:val="004835FF"/>
    <w:rsid w:val="004F272F"/>
    <w:rsid w:val="00516BC4"/>
    <w:rsid w:val="00585FBA"/>
    <w:rsid w:val="00612655"/>
    <w:rsid w:val="00612D29"/>
    <w:rsid w:val="00614EB4"/>
    <w:rsid w:val="00642760"/>
    <w:rsid w:val="00642956"/>
    <w:rsid w:val="0065513D"/>
    <w:rsid w:val="00677240"/>
    <w:rsid w:val="00692A99"/>
    <w:rsid w:val="006A08EA"/>
    <w:rsid w:val="006B5360"/>
    <w:rsid w:val="007348E6"/>
    <w:rsid w:val="007351E8"/>
    <w:rsid w:val="007520B6"/>
    <w:rsid w:val="00760B3D"/>
    <w:rsid w:val="007915EA"/>
    <w:rsid w:val="007A16C4"/>
    <w:rsid w:val="007A2093"/>
    <w:rsid w:val="007A4934"/>
    <w:rsid w:val="007A69AA"/>
    <w:rsid w:val="0083004D"/>
    <w:rsid w:val="00846B68"/>
    <w:rsid w:val="00852746"/>
    <w:rsid w:val="00867FDE"/>
    <w:rsid w:val="00873B76"/>
    <w:rsid w:val="0089613E"/>
    <w:rsid w:val="00896EF6"/>
    <w:rsid w:val="00897EBF"/>
    <w:rsid w:val="008A3D88"/>
    <w:rsid w:val="008D1990"/>
    <w:rsid w:val="008D4C6C"/>
    <w:rsid w:val="008D585E"/>
    <w:rsid w:val="008E201C"/>
    <w:rsid w:val="008F7EDF"/>
    <w:rsid w:val="00906D42"/>
    <w:rsid w:val="00923C09"/>
    <w:rsid w:val="00936B32"/>
    <w:rsid w:val="00946D66"/>
    <w:rsid w:val="00963CE6"/>
    <w:rsid w:val="00987E94"/>
    <w:rsid w:val="00995D2F"/>
    <w:rsid w:val="009A635E"/>
    <w:rsid w:val="009C13DE"/>
    <w:rsid w:val="009C485A"/>
    <w:rsid w:val="009C700F"/>
    <w:rsid w:val="00A0675A"/>
    <w:rsid w:val="00A738BA"/>
    <w:rsid w:val="00A93F98"/>
    <w:rsid w:val="00A951AE"/>
    <w:rsid w:val="00AA0CF5"/>
    <w:rsid w:val="00AB20C8"/>
    <w:rsid w:val="00AB2FDA"/>
    <w:rsid w:val="00AD2550"/>
    <w:rsid w:val="00B024CD"/>
    <w:rsid w:val="00B10D0D"/>
    <w:rsid w:val="00B2679F"/>
    <w:rsid w:val="00B6542A"/>
    <w:rsid w:val="00B716A7"/>
    <w:rsid w:val="00BD72CA"/>
    <w:rsid w:val="00BF000B"/>
    <w:rsid w:val="00C02F57"/>
    <w:rsid w:val="00C05E0F"/>
    <w:rsid w:val="00C96DA0"/>
    <w:rsid w:val="00D83EC4"/>
    <w:rsid w:val="00D86288"/>
    <w:rsid w:val="00DE579E"/>
    <w:rsid w:val="00E2025E"/>
    <w:rsid w:val="00E2336B"/>
    <w:rsid w:val="00E40463"/>
    <w:rsid w:val="00E97A97"/>
    <w:rsid w:val="00EE2390"/>
    <w:rsid w:val="00EF265C"/>
    <w:rsid w:val="00F53841"/>
    <w:rsid w:val="00F55D18"/>
    <w:rsid w:val="00F72F2A"/>
    <w:rsid w:val="00F734E7"/>
    <w:rsid w:val="00F76EB5"/>
    <w:rsid w:val="00F8224A"/>
    <w:rsid w:val="00FB09A2"/>
    <w:rsid w:val="00FC2F97"/>
    <w:rsid w:val="00FC7144"/>
    <w:rsid w:val="00FD2AA1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E6"/>
  </w:style>
  <w:style w:type="paragraph" w:styleId="3">
    <w:name w:val="heading 3"/>
    <w:basedOn w:val="a"/>
    <w:link w:val="30"/>
    <w:uiPriority w:val="9"/>
    <w:qFormat/>
    <w:rsid w:val="00612D2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CE6"/>
    <w:rPr>
      <w:b/>
      <w:bCs/>
    </w:rPr>
  </w:style>
  <w:style w:type="paragraph" w:styleId="a4">
    <w:name w:val="Body Text Indent"/>
    <w:basedOn w:val="a"/>
    <w:link w:val="a5"/>
    <w:rsid w:val="009C70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C7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00F"/>
    <w:rPr>
      <w:rFonts w:ascii="Tahoma" w:hAnsi="Tahoma" w:cs="Tahoma"/>
      <w:sz w:val="16"/>
      <w:szCs w:val="16"/>
    </w:rPr>
  </w:style>
  <w:style w:type="paragraph" w:styleId="a8">
    <w:name w:val="footnote text"/>
    <w:aliases w:val="Текст сноски Знак Знак Знак"/>
    <w:basedOn w:val="a"/>
    <w:next w:val="a"/>
    <w:link w:val="a9"/>
    <w:autoRedefine/>
    <w:rsid w:val="009C70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a9">
    <w:name w:val="Текст сноски Знак"/>
    <w:aliases w:val="Текст сноски Знак Знак Знак Знак"/>
    <w:basedOn w:val="a0"/>
    <w:link w:val="a8"/>
    <w:rsid w:val="009C700F"/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a">
    <w:name w:val="footnote reference"/>
    <w:rsid w:val="009C700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9C70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700F"/>
  </w:style>
  <w:style w:type="paragraph" w:styleId="ab">
    <w:name w:val="Body Text"/>
    <w:basedOn w:val="a"/>
    <w:link w:val="ac"/>
    <w:uiPriority w:val="99"/>
    <w:semiHidden/>
    <w:unhideWhenUsed/>
    <w:rsid w:val="009C70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C700F"/>
  </w:style>
  <w:style w:type="paragraph" w:styleId="ad">
    <w:name w:val="Normal (Web)"/>
    <w:basedOn w:val="a"/>
    <w:uiPriority w:val="99"/>
    <w:unhideWhenUsed/>
    <w:rsid w:val="00987E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E94"/>
  </w:style>
  <w:style w:type="paragraph" w:customStyle="1" w:styleId="formattext">
    <w:name w:val="formattext"/>
    <w:basedOn w:val="a"/>
    <w:rsid w:val="00612D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2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2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3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34C5A"/>
  </w:style>
  <w:style w:type="paragraph" w:styleId="af1">
    <w:name w:val="footer"/>
    <w:basedOn w:val="a"/>
    <w:link w:val="af2"/>
    <w:uiPriority w:val="99"/>
    <w:unhideWhenUsed/>
    <w:rsid w:val="0003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34C5A"/>
  </w:style>
  <w:style w:type="paragraph" w:styleId="af3">
    <w:name w:val="caption"/>
    <w:basedOn w:val="a"/>
    <w:next w:val="a"/>
    <w:uiPriority w:val="35"/>
    <w:unhideWhenUsed/>
    <w:qFormat/>
    <w:rsid w:val="003522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uiPriority w:val="34"/>
    <w:qFormat/>
    <w:rsid w:val="0017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E6"/>
  </w:style>
  <w:style w:type="paragraph" w:styleId="3">
    <w:name w:val="heading 3"/>
    <w:basedOn w:val="a"/>
    <w:link w:val="30"/>
    <w:uiPriority w:val="9"/>
    <w:qFormat/>
    <w:rsid w:val="00612D2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CE6"/>
    <w:rPr>
      <w:b/>
      <w:bCs/>
    </w:rPr>
  </w:style>
  <w:style w:type="paragraph" w:styleId="a4">
    <w:name w:val="Body Text Indent"/>
    <w:basedOn w:val="a"/>
    <w:link w:val="a5"/>
    <w:rsid w:val="009C70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C7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00F"/>
    <w:rPr>
      <w:rFonts w:ascii="Tahoma" w:hAnsi="Tahoma" w:cs="Tahoma"/>
      <w:sz w:val="16"/>
      <w:szCs w:val="16"/>
    </w:rPr>
  </w:style>
  <w:style w:type="paragraph" w:styleId="a8">
    <w:name w:val="footnote text"/>
    <w:aliases w:val="Текст сноски Знак Знак Знак"/>
    <w:basedOn w:val="a"/>
    <w:next w:val="a"/>
    <w:link w:val="a9"/>
    <w:autoRedefine/>
    <w:rsid w:val="009C70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a9">
    <w:name w:val="Текст сноски Знак"/>
    <w:aliases w:val="Текст сноски Знак Знак Знак Знак"/>
    <w:basedOn w:val="a0"/>
    <w:link w:val="a8"/>
    <w:rsid w:val="009C700F"/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a">
    <w:name w:val="footnote reference"/>
    <w:rsid w:val="009C700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9C70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700F"/>
  </w:style>
  <w:style w:type="paragraph" w:styleId="ab">
    <w:name w:val="Body Text"/>
    <w:basedOn w:val="a"/>
    <w:link w:val="ac"/>
    <w:uiPriority w:val="99"/>
    <w:semiHidden/>
    <w:unhideWhenUsed/>
    <w:rsid w:val="009C70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C700F"/>
  </w:style>
  <w:style w:type="paragraph" w:styleId="ad">
    <w:name w:val="Normal (Web)"/>
    <w:basedOn w:val="a"/>
    <w:uiPriority w:val="99"/>
    <w:unhideWhenUsed/>
    <w:rsid w:val="00987E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E94"/>
  </w:style>
  <w:style w:type="paragraph" w:customStyle="1" w:styleId="formattext">
    <w:name w:val="formattext"/>
    <w:basedOn w:val="a"/>
    <w:rsid w:val="00612D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2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2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3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34C5A"/>
  </w:style>
  <w:style w:type="paragraph" w:styleId="af1">
    <w:name w:val="footer"/>
    <w:basedOn w:val="a"/>
    <w:link w:val="af2"/>
    <w:uiPriority w:val="99"/>
    <w:unhideWhenUsed/>
    <w:rsid w:val="0003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34C5A"/>
  </w:style>
  <w:style w:type="paragraph" w:styleId="af3">
    <w:name w:val="caption"/>
    <w:basedOn w:val="a"/>
    <w:next w:val="a"/>
    <w:uiPriority w:val="35"/>
    <w:unhideWhenUsed/>
    <w:qFormat/>
    <w:rsid w:val="003522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uiPriority w:val="34"/>
    <w:qFormat/>
    <w:rsid w:val="0017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fms-bryansk.ru/statist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12828186196417E-2"/>
          <c:y val="5.531308586426701E-2"/>
          <c:w val="0.8711197782520177"/>
          <c:h val="0.6892068754563575"/>
        </c:manualLayout>
      </c:layout>
      <c:lineChart>
        <c:grouping val="standard"/>
        <c:varyColors val="0"/>
        <c:ser>
          <c:idx val="0"/>
          <c:order val="0"/>
          <c:dLbls>
            <c:dLbl>
              <c:idx val="0"/>
              <c:layout>
                <c:manualLayout>
                  <c:x val="-5.6167324878782704E-2"/>
                  <c:y val="-8.5213032581453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69055036344756E-2"/>
                  <c:y val="-8.5213032581453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306334371754892E-2"/>
                  <c:y val="-8.5213032581453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7684319833852E-2"/>
                  <c:y val="-8.020050125313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922118380062312E-2"/>
                  <c:y val="-8.5213032581453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845275181723829E-2"/>
                  <c:y val="-8.020050125313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768431983385238E-2"/>
                  <c:y val="-6.5162907268170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0768595514345754E-2"/>
                  <c:y val="-8.5213032581453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537902388369751E-2"/>
                  <c:y val="-7.5187969924812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2461059190031163E-2"/>
                  <c:y val="-8.5213032581453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6614745586708207E-2"/>
                  <c:y val="-7.5188364612318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691588785046738E-2"/>
                  <c:y val="-7.5187969924812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5.0125313283208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2002 г.</c:v>
                </c:pt>
                <c:pt idx="1">
                  <c:v>2003 г.</c:v>
                </c:pt>
                <c:pt idx="2">
                  <c:v>2004 г.</c:v>
                </c:pt>
                <c:pt idx="3">
                  <c:v>2005 г.</c:v>
                </c:pt>
                <c:pt idx="4">
                  <c:v>2006 г.</c:v>
                </c:pt>
                <c:pt idx="5">
                  <c:v>2007 г.</c:v>
                </c:pt>
                <c:pt idx="6">
                  <c:v>2008 г.</c:v>
                </c:pt>
                <c:pt idx="7">
                  <c:v>2009 г.</c:v>
                </c:pt>
                <c:pt idx="8">
                  <c:v>2010 г.</c:v>
                </c:pt>
                <c:pt idx="9">
                  <c:v>2011 г.</c:v>
                </c:pt>
                <c:pt idx="10">
                  <c:v>2012 г.</c:v>
                </c:pt>
                <c:pt idx="11">
                  <c:v>2013 г.</c:v>
                </c:pt>
                <c:pt idx="12">
                  <c:v>на 1 мая 2014 г.</c:v>
                </c:pt>
              </c:strCache>
            </c:strRef>
          </c:cat>
          <c:val>
            <c:numRef>
              <c:f>Лист1!$B$2:$B$14</c:f>
              <c:numCache>
                <c:formatCode>#,##0.0</c:formatCode>
                <c:ptCount val="13"/>
                <c:pt idx="0">
                  <c:v>1375.4</c:v>
                </c:pt>
                <c:pt idx="1">
                  <c:v>1361.1</c:v>
                </c:pt>
                <c:pt idx="2">
                  <c:v>1346.5</c:v>
                </c:pt>
                <c:pt idx="3">
                  <c:v>1331.4</c:v>
                </c:pt>
                <c:pt idx="4">
                  <c:v>1317.6</c:v>
                </c:pt>
                <c:pt idx="5">
                  <c:v>1308.5</c:v>
                </c:pt>
                <c:pt idx="6">
                  <c:v>1299.7</c:v>
                </c:pt>
                <c:pt idx="7">
                  <c:v>1285.9000000000001</c:v>
                </c:pt>
                <c:pt idx="8">
                  <c:v>1275.3</c:v>
                </c:pt>
                <c:pt idx="9">
                  <c:v>1264.4000000000001</c:v>
                </c:pt>
                <c:pt idx="10">
                  <c:v>1253.7</c:v>
                </c:pt>
                <c:pt idx="11">
                  <c:v>1242.5999999999999</c:v>
                </c:pt>
                <c:pt idx="12">
                  <c:v>1239.3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2854144"/>
        <c:axId val="92869376"/>
      </c:lineChart>
      <c:catAx>
        <c:axId val="928541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869376"/>
        <c:crosses val="autoZero"/>
        <c:auto val="1"/>
        <c:lblAlgn val="ctr"/>
        <c:lblOffset val="100"/>
        <c:noMultiLvlLbl val="0"/>
      </c:catAx>
      <c:valAx>
        <c:axId val="92869376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854144"/>
        <c:crosses val="autoZero"/>
        <c:crossBetween val="between"/>
        <c:majorUnit val="4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025868388074106E-2"/>
          <c:y val="0.12455676911353823"/>
          <c:w val="0.59610255925216282"/>
          <c:h val="0.72615840666975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h="165100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scene3d>
                <a:camera prst="orthographicFront"/>
                <a:lightRig rig="threePt" dir="t"/>
              </a:scene3d>
              <a:sp3d>
                <a:bevelT w="165100" h="165100" prst="coolSlant"/>
              </a:sp3d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w="165100" h="165100" prst="coolSlant"/>
              </a:sp3d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w="165100" h="165100" prst="coolSlant"/>
              </a:sp3d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65100" h="165100" prst="coolSlant"/>
              </a:sp3d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w="165100" h="165100" prst="coolSlant"/>
              </a:sp3d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w="165100" h="165100" prst="coolSlant"/>
              </a:sp3d>
            </c:spPr>
          </c:dPt>
          <c:dPt>
            <c:idx val="7"/>
            <c:invertIfNegative val="0"/>
            <c:bubble3D val="0"/>
            <c:spPr>
              <a:solidFill>
                <a:srgbClr val="00CC00"/>
              </a:solidFill>
              <a:scene3d>
                <a:camera prst="orthographicFront"/>
                <a:lightRig rig="threePt" dir="t"/>
              </a:scene3d>
              <a:sp3d>
                <a:bevelT w="165100" h="165100" prst="coolSlant"/>
              </a:sp3d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Украина</c:v>
                </c:pt>
                <c:pt idx="1">
                  <c:v>Узбекистан</c:v>
                </c:pt>
                <c:pt idx="2">
                  <c:v>Беларусь</c:v>
                </c:pt>
                <c:pt idx="3">
                  <c:v>Молдова</c:v>
                </c:pt>
                <c:pt idx="4">
                  <c:v>Азербайджан</c:v>
                </c:pt>
                <c:pt idx="5">
                  <c:v>Армения</c:v>
                </c:pt>
                <c:pt idx="6">
                  <c:v>Другие</c:v>
                </c:pt>
                <c:pt idx="7">
                  <c:v>Таджикистан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0.33000000000000101</c:v>
                </c:pt>
                <c:pt idx="1">
                  <c:v>0.23</c:v>
                </c:pt>
                <c:pt idx="2">
                  <c:v>9.0000000000000024E-2</c:v>
                </c:pt>
                <c:pt idx="3">
                  <c:v>8.0000000000000043E-2</c:v>
                </c:pt>
                <c:pt idx="4">
                  <c:v>8.0000000000000043E-2</c:v>
                </c:pt>
                <c:pt idx="5">
                  <c:v>7.0000000000000021E-2</c:v>
                </c:pt>
                <c:pt idx="6">
                  <c:v>6.0000000000000032E-2</c:v>
                </c:pt>
                <c:pt idx="7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9138560"/>
        <c:axId val="99418880"/>
      </c:barChart>
      <c:catAx>
        <c:axId val="99138560"/>
        <c:scaling>
          <c:orientation val="minMax"/>
        </c:scaling>
        <c:delete val="1"/>
        <c:axPos val="b"/>
        <c:majorTickMark val="out"/>
        <c:minorTickMark val="none"/>
        <c:tickLblPos val="none"/>
        <c:crossAx val="99418880"/>
        <c:crosses val="autoZero"/>
        <c:auto val="1"/>
        <c:lblAlgn val="ctr"/>
        <c:lblOffset val="100"/>
        <c:noMultiLvlLbl val="0"/>
      </c:catAx>
      <c:valAx>
        <c:axId val="99418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1385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4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398728736839048"/>
          <c:y val="0.14885374371401081"/>
          <c:w val="0.19554277396673436"/>
          <c:h val="0.59317661285498191"/>
        </c:manualLayout>
      </c:layout>
      <c:overlay val="0"/>
      <c:txPr>
        <a:bodyPr/>
        <a:lstStyle/>
        <a:p>
          <a:pPr>
            <a:defRPr sz="14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view3D>
      <c:rotX val="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15614219502675"/>
          <c:y val="5.053605154982789E-2"/>
          <c:w val="0.97055660077888495"/>
          <c:h val="0.607591120075507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1-е полугодие 2013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273022364313617E-3"/>
                  <c:y val="2.9387789940891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959886651336734E-3"/>
                  <c:y val="2.00437827367649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453352764190116E-3"/>
                  <c:y val="-7.005953524102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451684572427148E-5"/>
                  <c:y val="-5.6607558201565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1279838226821563E-5"/>
                  <c:y val="-1.2213473315835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299973263743832E-3"/>
                  <c:y val="-1.7231077822589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463926765251905E-2"/>
                  <c:y val="-1.9529692934724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Строительство</c:v>
                </c:pt>
                <c:pt idx="1">
                  <c:v>Обрабатывающее производство</c:v>
                </c:pt>
                <c:pt idx="2">
                  <c:v>Оптовая и розничная торговля</c:v>
                </c:pt>
                <c:pt idx="3">
                  <c:v>Сельское и лесное хозяйство</c:v>
                </c:pt>
                <c:pt idx="4">
                  <c:v>Транспорт и связь</c:v>
                </c:pt>
                <c:pt idx="5">
                  <c:v>Сфера услуг</c:v>
                </c:pt>
                <c:pt idx="6">
                  <c:v>Иные отрасли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681</c:v>
                </c:pt>
                <c:pt idx="1">
                  <c:v>357</c:v>
                </c:pt>
                <c:pt idx="2">
                  <c:v>112</c:v>
                </c:pt>
                <c:pt idx="3">
                  <c:v>124</c:v>
                </c:pt>
                <c:pt idx="4">
                  <c:v>34</c:v>
                </c:pt>
                <c:pt idx="5">
                  <c:v>24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1-е полугодие 2014 г.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0047108530372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5184122429461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259206121473099E-3"/>
                  <c:y val="-1.084010840108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388809182209472E-3"/>
                  <c:y val="-5.4200542005420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129603060736532E-3"/>
                  <c:y val="-1.084010840108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129603060736532E-3"/>
                  <c:y val="-1.6260162601626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5648015303682853E-3"/>
                  <c:y val="-1.084010840108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Строительство</c:v>
                </c:pt>
                <c:pt idx="1">
                  <c:v>Обрабатывающее производство</c:v>
                </c:pt>
                <c:pt idx="2">
                  <c:v>Оптовая и розничная торговля</c:v>
                </c:pt>
                <c:pt idx="3">
                  <c:v>Сельское и лесное хозяйство</c:v>
                </c:pt>
                <c:pt idx="4">
                  <c:v>Транспорт и связь</c:v>
                </c:pt>
                <c:pt idx="5">
                  <c:v>Сфера услуг</c:v>
                </c:pt>
                <c:pt idx="6">
                  <c:v>Иные отрасли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505</c:v>
                </c:pt>
                <c:pt idx="1">
                  <c:v>311</c:v>
                </c:pt>
                <c:pt idx="2">
                  <c:v>60</c:v>
                </c:pt>
                <c:pt idx="3">
                  <c:v>93</c:v>
                </c:pt>
                <c:pt idx="4">
                  <c:v>33</c:v>
                </c:pt>
                <c:pt idx="5">
                  <c:v>35</c:v>
                </c:pt>
                <c:pt idx="6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99501568"/>
        <c:axId val="99503104"/>
        <c:axId val="0"/>
      </c:bar3DChart>
      <c:catAx>
        <c:axId val="99501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900000" vert="horz"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503104"/>
        <c:crosses val="autoZero"/>
        <c:auto val="1"/>
        <c:lblAlgn val="ctr"/>
        <c:lblOffset val="100"/>
        <c:tickLblSkip val="1"/>
        <c:noMultiLvlLbl val="0"/>
      </c:catAx>
      <c:valAx>
        <c:axId val="99503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95015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624066936532322"/>
          <c:y val="2.2515957694637281E-2"/>
          <c:w val="0.33103634259061432"/>
          <c:h val="0.1484107698014725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0.04274</cdr:x>
      <cdr:y>0.78477</cdr:y>
    </cdr:from>
    <cdr:to>
      <cdr:x>0.15127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0040" y="410445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354FA-C04B-4376-BDAE-CD0939DB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dcterms:created xsi:type="dcterms:W3CDTF">2015-06-08T10:01:00Z</dcterms:created>
  <dcterms:modified xsi:type="dcterms:W3CDTF">2015-06-13T07:45:00Z</dcterms:modified>
</cp:coreProperties>
</file>